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FB3DF" w14:textId="1E8687D6" w:rsidR="00A6123C" w:rsidRDefault="00A61622" w:rsidP="00A6123C">
      <w:r w:rsidRPr="00E81097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2A15DB62" wp14:editId="238E12C0">
            <wp:simplePos x="0" y="0"/>
            <wp:positionH relativeFrom="column">
              <wp:posOffset>0</wp:posOffset>
            </wp:positionH>
            <wp:positionV relativeFrom="paragraph">
              <wp:posOffset>300990</wp:posOffset>
            </wp:positionV>
            <wp:extent cx="957580" cy="972185"/>
            <wp:effectExtent l="38100" t="19050" r="90170" b="94615"/>
            <wp:wrapTight wrapText="bothSides">
              <wp:wrapPolygon edited="0">
                <wp:start x="-859" y="-423"/>
                <wp:lineTo x="-859" y="21586"/>
                <wp:lineTo x="430" y="23702"/>
                <wp:lineTo x="23634" y="23702"/>
                <wp:lineTo x="23634" y="1270"/>
                <wp:lineTo x="22775" y="-423"/>
                <wp:lineTo x="-859" y="-423"/>
              </wp:wrapPolygon>
            </wp:wrapTight>
            <wp:docPr id="4" name="Picture 0" descr="newSmallCol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ewSmallColLogo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97218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11E462EF" w14:textId="6F478404" w:rsidR="00A6123C" w:rsidRPr="00950113" w:rsidRDefault="00A61622" w:rsidP="00A61622">
      <w:pPr>
        <w:pBdr>
          <w:bottom w:val="single" w:sz="4" w:space="1" w:color="auto"/>
        </w:pBd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CATSHILL AND NORTH MARLBROOK</w:t>
      </w:r>
      <w:r w:rsidR="00A6123C" w:rsidRPr="00950113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 xml:space="preserve">   </w:t>
      </w:r>
      <w:r w:rsidR="00A6123C" w:rsidRPr="00950113">
        <w:rPr>
          <w:rFonts w:ascii="Arial" w:hAnsi="Arial" w:cs="Arial"/>
          <w:b/>
          <w:bCs/>
          <w:sz w:val="36"/>
          <w:szCs w:val="36"/>
        </w:rPr>
        <w:t>PARISH COUNCIL</w:t>
      </w:r>
    </w:p>
    <w:p w14:paraId="01B4140A" w14:textId="1A54DF4E" w:rsidR="00A6123C" w:rsidRPr="00950113" w:rsidRDefault="00A6123C" w:rsidP="00A6123C">
      <w:pPr>
        <w:ind w:left="1701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POLICY SCHEME OF DELEGATION</w:t>
      </w:r>
    </w:p>
    <w:tbl>
      <w:tblPr>
        <w:tblW w:w="5386" w:type="dxa"/>
        <w:tblInd w:w="3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9"/>
        <w:gridCol w:w="1697"/>
        <w:gridCol w:w="1810"/>
      </w:tblGrid>
      <w:tr w:rsidR="004A5805" w:rsidRPr="00766603" w14:paraId="1C141D2E" w14:textId="77777777" w:rsidTr="00752304">
        <w:trPr>
          <w:trHeight w:val="340"/>
        </w:trPr>
        <w:tc>
          <w:tcPr>
            <w:tcW w:w="1879" w:type="dxa"/>
            <w:vAlign w:val="center"/>
          </w:tcPr>
          <w:p w14:paraId="7471735C" w14:textId="096563B8" w:rsidR="004A5805" w:rsidRPr="0024579F" w:rsidRDefault="004A5805" w:rsidP="004A5805">
            <w:pPr>
              <w:pStyle w:val="TableParagraph"/>
              <w:ind w:firstLine="127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R</w:t>
            </w:r>
            <w:r w:rsidRPr="0024579F">
              <w:rPr>
                <w:rFonts w:ascii="Aptos" w:hAnsi="Aptos" w:cs="Arial"/>
              </w:rPr>
              <w:t>eview</w:t>
            </w:r>
            <w:r>
              <w:rPr>
                <w:rFonts w:ascii="Aptos" w:hAnsi="Aptos" w:cs="Arial"/>
              </w:rPr>
              <w:t>ed</w:t>
            </w:r>
          </w:p>
        </w:tc>
        <w:tc>
          <w:tcPr>
            <w:tcW w:w="1697" w:type="dxa"/>
            <w:vAlign w:val="center"/>
          </w:tcPr>
          <w:p w14:paraId="3F638550" w14:textId="67FEEE35" w:rsidR="004A5805" w:rsidRPr="0024579F" w:rsidRDefault="004A5805" w:rsidP="004A5805">
            <w:pPr>
              <w:pStyle w:val="TableParagraph"/>
              <w:ind w:left="114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05</w:t>
            </w:r>
            <w:r w:rsidRPr="0024579F">
              <w:rPr>
                <w:rFonts w:ascii="Aptos" w:hAnsi="Aptos" w:cs="Arial"/>
              </w:rPr>
              <w:t>/2025</w:t>
            </w:r>
          </w:p>
        </w:tc>
        <w:tc>
          <w:tcPr>
            <w:tcW w:w="1810" w:type="dxa"/>
            <w:vAlign w:val="center"/>
          </w:tcPr>
          <w:p w14:paraId="67FE2667" w14:textId="3CD66FCC" w:rsidR="004A5805" w:rsidRPr="0024579F" w:rsidRDefault="004A5805" w:rsidP="004A5805">
            <w:pPr>
              <w:pStyle w:val="TableParagraph"/>
              <w:ind w:left="112"/>
              <w:jc w:val="center"/>
              <w:rPr>
                <w:rFonts w:ascii="Aptos" w:hAnsi="Aptos" w:cs="Arial"/>
              </w:rPr>
            </w:pPr>
          </w:p>
        </w:tc>
      </w:tr>
      <w:tr w:rsidR="004A5805" w:rsidRPr="00766603" w14:paraId="22E9FEF6" w14:textId="77777777" w:rsidTr="00752304">
        <w:trPr>
          <w:trHeight w:val="340"/>
        </w:trPr>
        <w:tc>
          <w:tcPr>
            <w:tcW w:w="1879" w:type="dxa"/>
            <w:vAlign w:val="center"/>
          </w:tcPr>
          <w:p w14:paraId="05749AB8" w14:textId="77777777" w:rsidR="004A5805" w:rsidRPr="0024579F" w:rsidRDefault="004A5805" w:rsidP="004A5805">
            <w:pPr>
              <w:pStyle w:val="TableParagraph"/>
              <w:ind w:firstLine="127"/>
              <w:rPr>
                <w:rFonts w:ascii="Aptos" w:hAnsi="Aptos" w:cs="Arial"/>
              </w:rPr>
            </w:pPr>
            <w:r w:rsidRPr="0024579F">
              <w:rPr>
                <w:rFonts w:ascii="Aptos" w:hAnsi="Aptos" w:cs="Arial"/>
              </w:rPr>
              <w:t>Next review</w:t>
            </w:r>
          </w:p>
        </w:tc>
        <w:tc>
          <w:tcPr>
            <w:tcW w:w="1697" w:type="dxa"/>
            <w:vAlign w:val="center"/>
          </w:tcPr>
          <w:p w14:paraId="656039E4" w14:textId="78A4701C" w:rsidR="004A5805" w:rsidRPr="0024579F" w:rsidRDefault="004A5805" w:rsidP="004A5805">
            <w:pPr>
              <w:pStyle w:val="TableParagraph"/>
              <w:ind w:left="114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05</w:t>
            </w:r>
            <w:r w:rsidRPr="0024579F">
              <w:rPr>
                <w:rFonts w:ascii="Aptos" w:hAnsi="Aptos" w:cs="Arial"/>
              </w:rPr>
              <w:t>/202</w:t>
            </w:r>
            <w:r>
              <w:rPr>
                <w:rFonts w:ascii="Aptos" w:hAnsi="Aptos" w:cs="Arial"/>
              </w:rPr>
              <w:t>6</w:t>
            </w:r>
          </w:p>
        </w:tc>
        <w:tc>
          <w:tcPr>
            <w:tcW w:w="1810" w:type="dxa"/>
            <w:vAlign w:val="center"/>
          </w:tcPr>
          <w:p w14:paraId="3799D0BF" w14:textId="77777777" w:rsidR="004A5805" w:rsidRPr="0024579F" w:rsidRDefault="004A5805" w:rsidP="004A5805">
            <w:pPr>
              <w:pStyle w:val="TableParagraph"/>
              <w:jc w:val="center"/>
              <w:rPr>
                <w:rFonts w:ascii="Aptos" w:hAnsi="Aptos" w:cs="Arial"/>
              </w:rPr>
            </w:pPr>
          </w:p>
        </w:tc>
      </w:tr>
    </w:tbl>
    <w:p w14:paraId="05E6F977" w14:textId="77777777" w:rsidR="00A6123C" w:rsidRDefault="00A6123C" w:rsidP="00A6123C"/>
    <w:p w14:paraId="00F2A720" w14:textId="77777777" w:rsidR="00A6123C" w:rsidRPr="00F816EA" w:rsidRDefault="00A6123C" w:rsidP="00A6123C">
      <w:pPr>
        <w:ind w:left="284" w:right="188" w:hanging="426"/>
        <w:rPr>
          <w:rFonts w:ascii="Aptos" w:hAnsi="Aptos"/>
          <w:bCs/>
        </w:rPr>
      </w:pPr>
      <w:r w:rsidRPr="00F816EA">
        <w:rPr>
          <w:rFonts w:ascii="Aptos" w:hAnsi="Aptos"/>
          <w:bCs/>
        </w:rPr>
        <w:t xml:space="preserve">1. </w:t>
      </w:r>
      <w:r>
        <w:rPr>
          <w:rFonts w:ascii="Aptos" w:hAnsi="Aptos"/>
          <w:bCs/>
        </w:rPr>
        <w:tab/>
      </w:r>
      <w:r>
        <w:rPr>
          <w:rFonts w:ascii="Aptos" w:hAnsi="Aptos"/>
          <w:b/>
        </w:rPr>
        <w:t>Introduction</w:t>
      </w:r>
    </w:p>
    <w:p w14:paraId="7802162B" w14:textId="51E7543C" w:rsidR="00A6123C" w:rsidRDefault="00A6123C" w:rsidP="00A6123C">
      <w:pPr>
        <w:ind w:left="284" w:right="188"/>
        <w:rPr>
          <w:rFonts w:ascii="Aptos" w:hAnsi="Aptos"/>
          <w:bCs/>
        </w:rPr>
      </w:pPr>
      <w:r w:rsidRPr="00F816EA">
        <w:rPr>
          <w:rFonts w:ascii="Aptos" w:hAnsi="Aptos"/>
          <w:bCs/>
        </w:rPr>
        <w:t>This scheme outlines the delegation of powers and duties from the Parish Council to its Clerk in accordance with the Local Government Act 1972, s101.</w:t>
      </w:r>
      <w:r>
        <w:rPr>
          <w:rFonts w:ascii="Aptos" w:hAnsi="Aptos"/>
          <w:bCs/>
        </w:rPr>
        <w:t xml:space="preserve"> If the parish council sets up any committees in the future, their Terms of Reference will be added to this Scheme.</w:t>
      </w:r>
    </w:p>
    <w:p w14:paraId="76D968E5" w14:textId="77777777" w:rsidR="0024579F" w:rsidRPr="00F816EA" w:rsidRDefault="0024579F" w:rsidP="0024579F">
      <w:pPr>
        <w:spacing w:after="0"/>
        <w:ind w:left="284" w:right="188"/>
        <w:rPr>
          <w:rFonts w:ascii="Aptos" w:hAnsi="Aptos"/>
          <w:bCs/>
        </w:rPr>
      </w:pPr>
    </w:p>
    <w:p w14:paraId="7ED8D1E8" w14:textId="77777777" w:rsidR="00A6123C" w:rsidRPr="00406128" w:rsidRDefault="00A6123C" w:rsidP="00A6123C">
      <w:pPr>
        <w:ind w:left="284" w:right="188" w:hanging="426"/>
        <w:rPr>
          <w:rFonts w:ascii="Aptos" w:hAnsi="Aptos"/>
          <w:b/>
        </w:rPr>
      </w:pPr>
      <w:r w:rsidRPr="00F816EA">
        <w:rPr>
          <w:rFonts w:ascii="Aptos" w:hAnsi="Aptos"/>
          <w:bCs/>
        </w:rPr>
        <w:t xml:space="preserve">2. </w:t>
      </w:r>
      <w:r>
        <w:rPr>
          <w:rFonts w:ascii="Aptos" w:hAnsi="Aptos"/>
          <w:bCs/>
        </w:rPr>
        <w:tab/>
      </w:r>
      <w:r w:rsidRPr="00406128">
        <w:rPr>
          <w:rFonts w:ascii="Aptos" w:hAnsi="Aptos"/>
          <w:b/>
        </w:rPr>
        <w:t>General Delegations</w:t>
      </w:r>
    </w:p>
    <w:p w14:paraId="5EF9B442" w14:textId="77777777" w:rsidR="00A6123C" w:rsidRPr="00F816EA" w:rsidRDefault="00A6123C" w:rsidP="00A6123C">
      <w:pPr>
        <w:ind w:left="426" w:right="188" w:hanging="142"/>
        <w:rPr>
          <w:rFonts w:ascii="Aptos" w:hAnsi="Aptos"/>
          <w:bCs/>
        </w:rPr>
      </w:pPr>
      <w:r>
        <w:rPr>
          <w:rFonts w:ascii="Aptos" w:hAnsi="Aptos"/>
          <w:bCs/>
        </w:rPr>
        <w:t xml:space="preserve">The </w:t>
      </w:r>
      <w:r w:rsidRPr="00F816EA">
        <w:rPr>
          <w:rFonts w:ascii="Aptos" w:hAnsi="Aptos"/>
          <w:bCs/>
        </w:rPr>
        <w:t>Proper Officer (Clerk)</w:t>
      </w:r>
      <w:r>
        <w:rPr>
          <w:rFonts w:ascii="Aptos" w:hAnsi="Aptos"/>
          <w:bCs/>
        </w:rPr>
        <w:t xml:space="preserve"> is required to</w:t>
      </w:r>
      <w:r w:rsidRPr="00F816EA">
        <w:rPr>
          <w:rFonts w:ascii="Aptos" w:hAnsi="Aptos"/>
          <w:bCs/>
        </w:rPr>
        <w:t>:</w:t>
      </w:r>
    </w:p>
    <w:p w14:paraId="2C852603" w14:textId="77777777" w:rsidR="00A6123C" w:rsidRPr="00406128" w:rsidRDefault="00A6123C" w:rsidP="00A6123C">
      <w:pPr>
        <w:pStyle w:val="ListParagraph"/>
        <w:numPr>
          <w:ilvl w:val="0"/>
          <w:numId w:val="1"/>
        </w:numPr>
        <w:suppressAutoHyphens/>
        <w:spacing w:after="0" w:line="240" w:lineRule="auto"/>
        <w:ind w:left="567" w:right="188" w:hanging="283"/>
        <w:contextualSpacing w:val="0"/>
        <w:rPr>
          <w:rFonts w:ascii="Aptos" w:hAnsi="Aptos"/>
          <w:bCs/>
        </w:rPr>
      </w:pPr>
      <w:r w:rsidRPr="00406128">
        <w:rPr>
          <w:rFonts w:ascii="Aptos" w:hAnsi="Aptos"/>
          <w:bCs/>
        </w:rPr>
        <w:t>Receive and record declarations of acceptance of office.</w:t>
      </w:r>
    </w:p>
    <w:p w14:paraId="0B10195C" w14:textId="77777777" w:rsidR="00A6123C" w:rsidRPr="00406128" w:rsidRDefault="00A6123C" w:rsidP="00A6123C">
      <w:pPr>
        <w:pStyle w:val="ListParagraph"/>
        <w:numPr>
          <w:ilvl w:val="0"/>
          <w:numId w:val="1"/>
        </w:numPr>
        <w:suppressAutoHyphens/>
        <w:spacing w:after="0" w:line="240" w:lineRule="auto"/>
        <w:ind w:left="567" w:right="188" w:hanging="283"/>
        <w:contextualSpacing w:val="0"/>
        <w:rPr>
          <w:rFonts w:ascii="Aptos" w:hAnsi="Aptos"/>
          <w:bCs/>
        </w:rPr>
      </w:pPr>
      <w:r w:rsidRPr="00406128">
        <w:rPr>
          <w:rFonts w:ascii="Aptos" w:hAnsi="Aptos"/>
          <w:bCs/>
        </w:rPr>
        <w:t>Receive and retain plans and documents.</w:t>
      </w:r>
    </w:p>
    <w:p w14:paraId="03A990DA" w14:textId="77777777" w:rsidR="00A6123C" w:rsidRPr="00406128" w:rsidRDefault="00A6123C" w:rsidP="00A6123C">
      <w:pPr>
        <w:pStyle w:val="ListParagraph"/>
        <w:numPr>
          <w:ilvl w:val="0"/>
          <w:numId w:val="1"/>
        </w:numPr>
        <w:suppressAutoHyphens/>
        <w:spacing w:after="0" w:line="240" w:lineRule="auto"/>
        <w:ind w:left="567" w:right="188" w:hanging="283"/>
        <w:contextualSpacing w:val="0"/>
        <w:rPr>
          <w:rFonts w:ascii="Aptos" w:hAnsi="Aptos"/>
          <w:bCs/>
        </w:rPr>
      </w:pPr>
      <w:r w:rsidRPr="00406128">
        <w:rPr>
          <w:rFonts w:ascii="Aptos" w:hAnsi="Aptos"/>
          <w:bCs/>
        </w:rPr>
        <w:t>Sign notices or other documents on behalf of the Council.</w:t>
      </w:r>
    </w:p>
    <w:p w14:paraId="1B26B80A" w14:textId="77777777" w:rsidR="00A6123C" w:rsidRPr="00406128" w:rsidRDefault="00A6123C" w:rsidP="00A6123C">
      <w:pPr>
        <w:pStyle w:val="ListParagraph"/>
        <w:numPr>
          <w:ilvl w:val="0"/>
          <w:numId w:val="1"/>
        </w:numPr>
        <w:suppressAutoHyphens/>
        <w:spacing w:after="0" w:line="240" w:lineRule="auto"/>
        <w:ind w:left="567" w:right="188" w:hanging="283"/>
        <w:contextualSpacing w:val="0"/>
        <w:rPr>
          <w:rFonts w:ascii="Aptos" w:hAnsi="Aptos"/>
          <w:bCs/>
        </w:rPr>
      </w:pPr>
      <w:r w:rsidRPr="00406128">
        <w:rPr>
          <w:rFonts w:ascii="Aptos" w:hAnsi="Aptos"/>
          <w:bCs/>
        </w:rPr>
        <w:t>Authori</w:t>
      </w:r>
      <w:r>
        <w:rPr>
          <w:rFonts w:ascii="Aptos" w:hAnsi="Aptos"/>
          <w:bCs/>
        </w:rPr>
        <w:t>s</w:t>
      </w:r>
      <w:r w:rsidRPr="00406128">
        <w:rPr>
          <w:rFonts w:ascii="Aptos" w:hAnsi="Aptos"/>
          <w:bCs/>
        </w:rPr>
        <w:t>e routine recurring expenditure within the agreed budget.</w:t>
      </w:r>
    </w:p>
    <w:p w14:paraId="376F1DFE" w14:textId="77777777" w:rsidR="00A6123C" w:rsidRPr="00406128" w:rsidRDefault="00A6123C" w:rsidP="00A6123C">
      <w:pPr>
        <w:pStyle w:val="ListParagraph"/>
        <w:numPr>
          <w:ilvl w:val="0"/>
          <w:numId w:val="1"/>
        </w:numPr>
        <w:suppressAutoHyphens/>
        <w:spacing w:after="0" w:line="240" w:lineRule="auto"/>
        <w:ind w:left="567" w:right="188" w:hanging="283"/>
        <w:contextualSpacing w:val="0"/>
        <w:rPr>
          <w:rFonts w:ascii="Aptos" w:hAnsi="Aptos"/>
          <w:bCs/>
        </w:rPr>
      </w:pPr>
      <w:r w:rsidRPr="00406128">
        <w:rPr>
          <w:rFonts w:ascii="Aptos" w:hAnsi="Aptos"/>
          <w:bCs/>
        </w:rPr>
        <w:t>Authori</w:t>
      </w:r>
      <w:r>
        <w:rPr>
          <w:rFonts w:ascii="Aptos" w:hAnsi="Aptos"/>
          <w:bCs/>
        </w:rPr>
        <w:t>s</w:t>
      </w:r>
      <w:r w:rsidRPr="00406128">
        <w:rPr>
          <w:rFonts w:ascii="Aptos" w:hAnsi="Aptos"/>
          <w:bCs/>
        </w:rPr>
        <w:t xml:space="preserve">e emergency expenditure up to </w:t>
      </w:r>
      <w:r>
        <w:rPr>
          <w:rFonts w:ascii="Aptos" w:hAnsi="Aptos"/>
          <w:bCs/>
        </w:rPr>
        <w:t>the</w:t>
      </w:r>
      <w:r w:rsidRPr="00406128">
        <w:rPr>
          <w:rFonts w:ascii="Aptos" w:hAnsi="Aptos"/>
          <w:bCs/>
        </w:rPr>
        <w:t xml:space="preserve"> amount</w:t>
      </w:r>
      <w:r>
        <w:rPr>
          <w:rFonts w:ascii="Aptos" w:hAnsi="Aptos"/>
          <w:bCs/>
        </w:rPr>
        <w:t xml:space="preserve"> specified in Financial Regulations.</w:t>
      </w:r>
    </w:p>
    <w:p w14:paraId="3CDE6241" w14:textId="77777777" w:rsidR="00A6123C" w:rsidRDefault="00A6123C" w:rsidP="00A6123C">
      <w:pPr>
        <w:pStyle w:val="ListParagraph"/>
        <w:numPr>
          <w:ilvl w:val="0"/>
          <w:numId w:val="1"/>
        </w:numPr>
        <w:suppressAutoHyphens/>
        <w:spacing w:after="0" w:line="240" w:lineRule="auto"/>
        <w:ind w:left="567" w:right="188" w:hanging="283"/>
        <w:contextualSpacing w:val="0"/>
        <w:rPr>
          <w:rFonts w:ascii="Aptos" w:hAnsi="Aptos"/>
          <w:bCs/>
        </w:rPr>
      </w:pPr>
      <w:r w:rsidRPr="00406128">
        <w:rPr>
          <w:rFonts w:ascii="Aptos" w:hAnsi="Aptos"/>
          <w:bCs/>
        </w:rPr>
        <w:t>Call extra meetings of the Council as necessary.</w:t>
      </w:r>
    </w:p>
    <w:p w14:paraId="3A6C2E4E" w14:textId="77777777" w:rsidR="00A6123C" w:rsidRDefault="00A6123C" w:rsidP="00A6123C">
      <w:pPr>
        <w:pStyle w:val="ListParagraph"/>
        <w:numPr>
          <w:ilvl w:val="0"/>
          <w:numId w:val="1"/>
        </w:numPr>
        <w:suppressAutoHyphens/>
        <w:spacing w:after="0" w:line="240" w:lineRule="auto"/>
        <w:ind w:left="567" w:right="188" w:hanging="283"/>
        <w:contextualSpacing w:val="0"/>
        <w:rPr>
          <w:rFonts w:ascii="Aptos" w:hAnsi="Aptos"/>
          <w:bCs/>
        </w:rPr>
      </w:pPr>
      <w:r>
        <w:rPr>
          <w:rFonts w:ascii="Aptos" w:hAnsi="Aptos"/>
          <w:bCs/>
        </w:rPr>
        <w:t>Work to the job description provided.</w:t>
      </w:r>
    </w:p>
    <w:p w14:paraId="6339463E" w14:textId="77777777" w:rsidR="00A6123C" w:rsidRPr="00406128" w:rsidRDefault="00A6123C" w:rsidP="00A6123C">
      <w:pPr>
        <w:pStyle w:val="ListParagraph"/>
        <w:numPr>
          <w:ilvl w:val="0"/>
          <w:numId w:val="1"/>
        </w:numPr>
        <w:suppressAutoHyphens/>
        <w:spacing w:after="0" w:line="240" w:lineRule="auto"/>
        <w:ind w:left="567" w:right="188" w:hanging="283"/>
        <w:contextualSpacing w:val="0"/>
        <w:rPr>
          <w:rFonts w:ascii="Aptos" w:hAnsi="Aptos"/>
          <w:bCs/>
        </w:rPr>
      </w:pPr>
      <w:r>
        <w:rPr>
          <w:rFonts w:ascii="Aptos" w:hAnsi="Aptos"/>
          <w:bCs/>
        </w:rPr>
        <w:t>Work within the Council’s Standing Orders, Financial Regulations and assorted policies.</w:t>
      </w:r>
    </w:p>
    <w:p w14:paraId="2748A58C" w14:textId="77777777" w:rsidR="00A6123C" w:rsidRPr="00F816EA" w:rsidRDefault="00A6123C" w:rsidP="00A6123C">
      <w:pPr>
        <w:ind w:left="426" w:right="188" w:hanging="426"/>
        <w:rPr>
          <w:rFonts w:ascii="Aptos" w:hAnsi="Aptos"/>
          <w:bCs/>
        </w:rPr>
      </w:pPr>
    </w:p>
    <w:p w14:paraId="2903AA5A" w14:textId="171A7D1E" w:rsidR="00A6123C" w:rsidRPr="00F816EA" w:rsidRDefault="00A6123C" w:rsidP="00A6123C">
      <w:pPr>
        <w:ind w:left="426" w:right="188" w:hanging="142"/>
        <w:rPr>
          <w:rFonts w:ascii="Aptos" w:hAnsi="Aptos"/>
          <w:bCs/>
        </w:rPr>
      </w:pPr>
      <w:r>
        <w:rPr>
          <w:rFonts w:ascii="Aptos" w:hAnsi="Aptos"/>
          <w:bCs/>
        </w:rPr>
        <w:t xml:space="preserve">If the Council sets up any </w:t>
      </w:r>
      <w:r w:rsidRPr="00F816EA">
        <w:rPr>
          <w:rFonts w:ascii="Aptos" w:hAnsi="Aptos"/>
          <w:bCs/>
        </w:rPr>
        <w:t>Committees</w:t>
      </w:r>
      <w:r>
        <w:rPr>
          <w:rFonts w:ascii="Aptos" w:hAnsi="Aptos"/>
          <w:bCs/>
        </w:rPr>
        <w:t>, they will be expected to:</w:t>
      </w:r>
    </w:p>
    <w:p w14:paraId="0CAB04E8" w14:textId="77777777" w:rsidR="00A6123C" w:rsidRPr="000B4348" w:rsidRDefault="00A6123C" w:rsidP="00A6123C">
      <w:pPr>
        <w:pStyle w:val="ListParagraph"/>
        <w:numPr>
          <w:ilvl w:val="0"/>
          <w:numId w:val="2"/>
        </w:numPr>
        <w:suppressAutoHyphens/>
        <w:spacing w:after="0" w:line="240" w:lineRule="auto"/>
        <w:ind w:left="567" w:right="188" w:hanging="166"/>
        <w:contextualSpacing w:val="0"/>
        <w:rPr>
          <w:rFonts w:ascii="Aptos" w:hAnsi="Aptos"/>
          <w:bCs/>
        </w:rPr>
      </w:pPr>
      <w:r w:rsidRPr="000B4348">
        <w:rPr>
          <w:rFonts w:ascii="Aptos" w:hAnsi="Aptos"/>
          <w:bCs/>
        </w:rPr>
        <w:t>Make recommendations to the Council on specific matters.</w:t>
      </w:r>
    </w:p>
    <w:p w14:paraId="17E7F354" w14:textId="77777777" w:rsidR="00A6123C" w:rsidRPr="000B4348" w:rsidRDefault="00A6123C" w:rsidP="00A6123C">
      <w:pPr>
        <w:pStyle w:val="ListParagraph"/>
        <w:numPr>
          <w:ilvl w:val="0"/>
          <w:numId w:val="2"/>
        </w:numPr>
        <w:suppressAutoHyphens/>
        <w:spacing w:after="0" w:line="240" w:lineRule="auto"/>
        <w:ind w:left="567" w:right="188" w:hanging="166"/>
        <w:contextualSpacing w:val="0"/>
        <w:rPr>
          <w:rFonts w:ascii="Aptos" w:hAnsi="Aptos"/>
          <w:bCs/>
        </w:rPr>
      </w:pPr>
      <w:r w:rsidRPr="000B4348">
        <w:rPr>
          <w:rFonts w:ascii="Aptos" w:hAnsi="Aptos"/>
          <w:bCs/>
        </w:rPr>
        <w:t>Manage specific projects or areas of responsibility as delegated by the Council</w:t>
      </w:r>
      <w:r>
        <w:rPr>
          <w:rFonts w:ascii="Aptos" w:hAnsi="Aptos"/>
          <w:bCs/>
        </w:rPr>
        <w:t xml:space="preserve"> and identified in the committee’s Terms of Reference.</w:t>
      </w:r>
    </w:p>
    <w:p w14:paraId="386E9616" w14:textId="77777777" w:rsidR="00A6123C" w:rsidRPr="00F816EA" w:rsidRDefault="00A6123C" w:rsidP="00A6123C">
      <w:pPr>
        <w:ind w:left="426" w:right="188" w:hanging="426"/>
        <w:rPr>
          <w:rFonts w:ascii="Aptos" w:hAnsi="Aptos"/>
          <w:bCs/>
        </w:rPr>
      </w:pPr>
    </w:p>
    <w:p w14:paraId="0580A928" w14:textId="77777777" w:rsidR="00A6123C" w:rsidRDefault="00A6123C" w:rsidP="00A6123C">
      <w:pPr>
        <w:ind w:left="284" w:right="188" w:hanging="426"/>
        <w:rPr>
          <w:rFonts w:ascii="Aptos" w:hAnsi="Aptos"/>
          <w:b/>
        </w:rPr>
      </w:pPr>
      <w:r w:rsidRPr="00F816EA">
        <w:rPr>
          <w:rFonts w:ascii="Aptos" w:hAnsi="Aptos"/>
          <w:bCs/>
        </w:rPr>
        <w:t xml:space="preserve">3. </w:t>
      </w:r>
      <w:r>
        <w:rPr>
          <w:rFonts w:ascii="Aptos" w:hAnsi="Aptos"/>
          <w:bCs/>
        </w:rPr>
        <w:tab/>
      </w:r>
      <w:r w:rsidRPr="00270DAD">
        <w:rPr>
          <w:rFonts w:ascii="Aptos" w:hAnsi="Aptos"/>
          <w:b/>
        </w:rPr>
        <w:t>Council Reserved Powers</w:t>
      </w:r>
    </w:p>
    <w:p w14:paraId="33E60ADF" w14:textId="77777777" w:rsidR="00A6123C" w:rsidRPr="00F816EA" w:rsidRDefault="00A6123C" w:rsidP="00A6123C">
      <w:pPr>
        <w:ind w:left="284" w:right="188" w:hanging="426"/>
        <w:rPr>
          <w:rFonts w:ascii="Aptos" w:hAnsi="Aptos"/>
          <w:bCs/>
        </w:rPr>
      </w:pPr>
      <w:r>
        <w:rPr>
          <w:rFonts w:ascii="Aptos" w:hAnsi="Aptos"/>
          <w:bCs/>
        </w:rPr>
        <w:tab/>
        <w:t>The Council is expected to retain responsibility for:</w:t>
      </w:r>
    </w:p>
    <w:p w14:paraId="1B3BCE5A" w14:textId="77777777" w:rsidR="00A6123C" w:rsidRPr="009B5CB5" w:rsidRDefault="00A6123C" w:rsidP="00A6123C">
      <w:pPr>
        <w:pStyle w:val="ListParagraph"/>
        <w:numPr>
          <w:ilvl w:val="0"/>
          <w:numId w:val="3"/>
        </w:numPr>
        <w:suppressAutoHyphens/>
        <w:spacing w:after="0" w:line="240" w:lineRule="auto"/>
        <w:ind w:right="188"/>
        <w:contextualSpacing w:val="0"/>
        <w:rPr>
          <w:rFonts w:ascii="Aptos" w:hAnsi="Aptos"/>
          <w:bCs/>
        </w:rPr>
      </w:pPr>
      <w:r w:rsidRPr="009B5CB5">
        <w:rPr>
          <w:rFonts w:ascii="Aptos" w:hAnsi="Aptos"/>
          <w:bCs/>
        </w:rPr>
        <w:t>Appointment of the Clerk.</w:t>
      </w:r>
    </w:p>
    <w:p w14:paraId="60681528" w14:textId="77777777" w:rsidR="00A6123C" w:rsidRPr="009B5CB5" w:rsidRDefault="00A6123C" w:rsidP="00A6123C">
      <w:pPr>
        <w:pStyle w:val="ListParagraph"/>
        <w:numPr>
          <w:ilvl w:val="0"/>
          <w:numId w:val="3"/>
        </w:numPr>
        <w:suppressAutoHyphens/>
        <w:spacing w:after="0" w:line="240" w:lineRule="auto"/>
        <w:ind w:right="188"/>
        <w:contextualSpacing w:val="0"/>
        <w:rPr>
          <w:rFonts w:ascii="Aptos" w:hAnsi="Aptos"/>
          <w:bCs/>
        </w:rPr>
      </w:pPr>
      <w:r w:rsidRPr="009B5CB5">
        <w:rPr>
          <w:rFonts w:ascii="Aptos" w:hAnsi="Aptos"/>
          <w:bCs/>
        </w:rPr>
        <w:t>Adoption and amendment of Standing Orders, Financial Regulations, and other Council policies.</w:t>
      </w:r>
    </w:p>
    <w:p w14:paraId="14007DCB" w14:textId="77777777" w:rsidR="00A6123C" w:rsidRDefault="00A6123C" w:rsidP="00A6123C">
      <w:pPr>
        <w:pStyle w:val="ListParagraph"/>
        <w:numPr>
          <w:ilvl w:val="0"/>
          <w:numId w:val="3"/>
        </w:numPr>
        <w:suppressAutoHyphens/>
        <w:spacing w:after="0" w:line="240" w:lineRule="auto"/>
        <w:ind w:right="188"/>
        <w:contextualSpacing w:val="0"/>
        <w:rPr>
          <w:rFonts w:ascii="Aptos" w:hAnsi="Aptos"/>
          <w:bCs/>
        </w:rPr>
      </w:pPr>
      <w:r w:rsidRPr="009B5CB5">
        <w:rPr>
          <w:rFonts w:ascii="Aptos" w:hAnsi="Aptos"/>
          <w:bCs/>
        </w:rPr>
        <w:t xml:space="preserve">Approval of the </w:t>
      </w:r>
      <w:r>
        <w:rPr>
          <w:rFonts w:ascii="Aptos" w:hAnsi="Aptos"/>
          <w:bCs/>
        </w:rPr>
        <w:t xml:space="preserve">annual </w:t>
      </w:r>
      <w:r w:rsidRPr="009B5CB5">
        <w:rPr>
          <w:rFonts w:ascii="Aptos" w:hAnsi="Aptos"/>
          <w:bCs/>
        </w:rPr>
        <w:t>budget and precept.</w:t>
      </w:r>
    </w:p>
    <w:p w14:paraId="71E69B8D" w14:textId="77777777" w:rsidR="00A6123C" w:rsidRDefault="00A6123C" w:rsidP="00A6123C">
      <w:pPr>
        <w:pStyle w:val="ListParagraph"/>
        <w:numPr>
          <w:ilvl w:val="0"/>
          <w:numId w:val="3"/>
        </w:numPr>
        <w:suppressAutoHyphens/>
        <w:spacing w:after="0" w:line="240" w:lineRule="auto"/>
        <w:ind w:right="188"/>
        <w:contextualSpacing w:val="0"/>
        <w:rPr>
          <w:rFonts w:ascii="Aptos" w:hAnsi="Aptos"/>
          <w:bCs/>
        </w:rPr>
      </w:pPr>
      <w:r>
        <w:rPr>
          <w:rFonts w:ascii="Aptos" w:hAnsi="Aptos"/>
          <w:bCs/>
        </w:rPr>
        <w:t>Approval of the end of year accounts and governance statement (AGAR).</w:t>
      </w:r>
    </w:p>
    <w:p w14:paraId="36EA6304" w14:textId="77777777" w:rsidR="00A6123C" w:rsidRPr="009B5CB5" w:rsidRDefault="00A6123C" w:rsidP="00A6123C">
      <w:pPr>
        <w:pStyle w:val="ListParagraph"/>
        <w:numPr>
          <w:ilvl w:val="0"/>
          <w:numId w:val="3"/>
        </w:numPr>
        <w:suppressAutoHyphens/>
        <w:spacing w:after="0" w:line="240" w:lineRule="auto"/>
        <w:ind w:right="188"/>
        <w:contextualSpacing w:val="0"/>
        <w:rPr>
          <w:rFonts w:ascii="Aptos" w:hAnsi="Aptos"/>
          <w:bCs/>
        </w:rPr>
      </w:pPr>
      <w:r>
        <w:rPr>
          <w:rFonts w:ascii="Aptos" w:hAnsi="Aptos"/>
          <w:bCs/>
        </w:rPr>
        <w:t>Receipt and, if required, response to internal and external audit reports.</w:t>
      </w:r>
    </w:p>
    <w:p w14:paraId="58E54E6B" w14:textId="77777777" w:rsidR="00A6123C" w:rsidRPr="009B5CB5" w:rsidRDefault="00A6123C" w:rsidP="00A6123C">
      <w:pPr>
        <w:pStyle w:val="ListParagraph"/>
        <w:numPr>
          <w:ilvl w:val="0"/>
          <w:numId w:val="3"/>
        </w:numPr>
        <w:suppressAutoHyphens/>
        <w:spacing w:after="0" w:line="240" w:lineRule="auto"/>
        <w:ind w:right="188"/>
        <w:contextualSpacing w:val="0"/>
        <w:rPr>
          <w:rFonts w:ascii="Aptos" w:hAnsi="Aptos"/>
          <w:bCs/>
        </w:rPr>
      </w:pPr>
      <w:r w:rsidRPr="009B5CB5">
        <w:rPr>
          <w:rFonts w:ascii="Aptos" w:hAnsi="Aptos"/>
          <w:bCs/>
        </w:rPr>
        <w:t>Appointment of Committees and Working Groups.</w:t>
      </w:r>
    </w:p>
    <w:p w14:paraId="6FFE4106" w14:textId="77777777" w:rsidR="00A6123C" w:rsidRPr="009B5CB5" w:rsidRDefault="00A6123C" w:rsidP="00A6123C">
      <w:pPr>
        <w:pStyle w:val="ListParagraph"/>
        <w:numPr>
          <w:ilvl w:val="0"/>
          <w:numId w:val="3"/>
        </w:numPr>
        <w:suppressAutoHyphens/>
        <w:spacing w:after="0" w:line="240" w:lineRule="auto"/>
        <w:ind w:right="188"/>
        <w:contextualSpacing w:val="0"/>
        <w:rPr>
          <w:rFonts w:ascii="Aptos" w:hAnsi="Aptos"/>
          <w:bCs/>
        </w:rPr>
      </w:pPr>
      <w:r w:rsidRPr="009B5CB5">
        <w:rPr>
          <w:rFonts w:ascii="Aptos" w:hAnsi="Aptos"/>
          <w:bCs/>
        </w:rPr>
        <w:t>Approval of significant expenditures</w:t>
      </w:r>
      <w:r>
        <w:rPr>
          <w:rFonts w:ascii="Aptos" w:hAnsi="Aptos"/>
          <w:bCs/>
        </w:rPr>
        <w:t xml:space="preserve"> and, if required, the decision to borrow.</w:t>
      </w:r>
    </w:p>
    <w:p w14:paraId="08118170" w14:textId="77777777" w:rsidR="00A6123C" w:rsidRPr="00F816EA" w:rsidRDefault="00A6123C" w:rsidP="00A6123C">
      <w:pPr>
        <w:ind w:left="426" w:right="188" w:hanging="426"/>
        <w:rPr>
          <w:rFonts w:ascii="Aptos" w:hAnsi="Aptos"/>
          <w:bCs/>
        </w:rPr>
      </w:pPr>
    </w:p>
    <w:p w14:paraId="229F5BB7" w14:textId="77777777" w:rsidR="00A6123C" w:rsidRPr="00F816EA" w:rsidRDefault="00A6123C" w:rsidP="00A6123C">
      <w:pPr>
        <w:ind w:left="284" w:right="188" w:hanging="426"/>
        <w:rPr>
          <w:rFonts w:ascii="Aptos" w:hAnsi="Aptos"/>
          <w:bCs/>
        </w:rPr>
      </w:pPr>
      <w:r w:rsidRPr="00F816EA">
        <w:rPr>
          <w:rFonts w:ascii="Aptos" w:hAnsi="Aptos"/>
          <w:bCs/>
        </w:rPr>
        <w:t xml:space="preserve">4. </w:t>
      </w:r>
      <w:r>
        <w:rPr>
          <w:rFonts w:ascii="Aptos" w:hAnsi="Aptos"/>
          <w:bCs/>
        </w:rPr>
        <w:tab/>
      </w:r>
      <w:r w:rsidRPr="00C15DBF">
        <w:rPr>
          <w:rFonts w:ascii="Aptos" w:hAnsi="Aptos"/>
          <w:b/>
        </w:rPr>
        <w:t>Review and Amendments</w:t>
      </w:r>
    </w:p>
    <w:p w14:paraId="2775A122" w14:textId="097773B1" w:rsidR="00A6123C" w:rsidRPr="00F816EA" w:rsidRDefault="00A6123C" w:rsidP="0024579F">
      <w:pPr>
        <w:ind w:left="284" w:right="188"/>
        <w:rPr>
          <w:rFonts w:ascii="Aptos" w:hAnsi="Aptos"/>
          <w:bCs/>
        </w:rPr>
      </w:pPr>
      <w:r w:rsidRPr="00F816EA">
        <w:rPr>
          <w:rFonts w:ascii="Aptos" w:hAnsi="Aptos"/>
          <w:bCs/>
        </w:rPr>
        <w:t>This scheme will be reviewed annually or when there is a change in the Clerk or significant changes in Council operations.</w:t>
      </w:r>
    </w:p>
    <w:sectPr w:rsidR="00A6123C" w:rsidRPr="00F816EA" w:rsidSect="0024579F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A11E1"/>
    <w:multiLevelType w:val="hybridMultilevel"/>
    <w:tmpl w:val="1BDC3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5633D"/>
    <w:multiLevelType w:val="hybridMultilevel"/>
    <w:tmpl w:val="D2AEF7D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3770D66"/>
    <w:multiLevelType w:val="hybridMultilevel"/>
    <w:tmpl w:val="66949986"/>
    <w:lvl w:ilvl="0" w:tplc="0F207E94">
      <w:numFmt w:val="bullet"/>
      <w:lvlText w:val="-"/>
      <w:lvlJc w:val="left"/>
      <w:pPr>
        <w:ind w:left="450" w:hanging="360"/>
      </w:pPr>
      <w:rPr>
        <w:rFonts w:ascii="Aptos" w:eastAsia="Times New Roman" w:hAnsi="Aptos" w:cs="Aria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457528250">
    <w:abstractNumId w:val="1"/>
  </w:num>
  <w:num w:numId="2" w16cid:durableId="194007335">
    <w:abstractNumId w:val="2"/>
  </w:num>
  <w:num w:numId="3" w16cid:durableId="1541822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23C"/>
    <w:rsid w:val="001806B5"/>
    <w:rsid w:val="0024579F"/>
    <w:rsid w:val="002B74DC"/>
    <w:rsid w:val="0040033A"/>
    <w:rsid w:val="004A5805"/>
    <w:rsid w:val="005D1E40"/>
    <w:rsid w:val="009E3810"/>
    <w:rsid w:val="00A6123C"/>
    <w:rsid w:val="00A61622"/>
    <w:rsid w:val="00BA493C"/>
    <w:rsid w:val="00C3008C"/>
    <w:rsid w:val="00EC5DA4"/>
    <w:rsid w:val="00FB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DFC45"/>
  <w15:chartTrackingRefBased/>
  <w15:docId w15:val="{7CD781AE-E41D-414F-9347-C9FF55ED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23C"/>
  </w:style>
  <w:style w:type="paragraph" w:styleId="Heading1">
    <w:name w:val="heading 1"/>
    <w:basedOn w:val="Normal"/>
    <w:next w:val="Normal"/>
    <w:link w:val="Heading1Char"/>
    <w:uiPriority w:val="9"/>
    <w:qFormat/>
    <w:rsid w:val="00A612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1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2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2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2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2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2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2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2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1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12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2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12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12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2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2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2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12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1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2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12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1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12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12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12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2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123C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A6123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Finstall Parish Council</dc:creator>
  <cp:keywords/>
  <dc:description/>
  <cp:lastModifiedBy>Parish Clerk</cp:lastModifiedBy>
  <cp:revision>3</cp:revision>
  <dcterms:created xsi:type="dcterms:W3CDTF">2025-05-20T10:30:00Z</dcterms:created>
  <dcterms:modified xsi:type="dcterms:W3CDTF">2025-06-09T08:20:00Z</dcterms:modified>
</cp:coreProperties>
</file>